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51129" w:rsidRPr="00651129" w:rsidRDefault="00651129" w:rsidP="00651129">
      <w:pPr>
        <w:spacing w:line="480" w:lineRule="auto"/>
        <w:rPr>
          <w:rFonts w:ascii="Arial" w:hAnsi="Arial" w:cs="Arial"/>
          <w:color w:val="000000" w:themeColor="text1"/>
          <w:sz w:val="20"/>
          <w:szCs w:val="20"/>
        </w:rPr>
      </w:pPr>
    </w:p>
    <w:p w:rsidR="00651129" w:rsidRPr="00324D62" w:rsidRDefault="006136F6" w:rsidP="00651129">
      <w:pPr>
        <w:spacing w:line="480" w:lineRule="auto"/>
        <w:ind w:left="360"/>
        <w:rPr>
          <w:rFonts w:ascii="Arial" w:eastAsia="Calibri" w:hAnsi="Arial" w:cs="Arial"/>
          <w:b/>
          <w:noProof/>
          <w:color w:val="000000" w:themeColor="text1"/>
          <w:sz w:val="20"/>
          <w:szCs w:val="20"/>
          <w:lang w:eastAsia="de-DE"/>
        </w:rPr>
      </w:pPr>
      <w:r w:rsidRPr="00324D62">
        <w:rPr>
          <w:rFonts w:ascii="Arial" w:eastAsia="Calibri" w:hAnsi="Arial" w:cs="Arial"/>
          <w:b/>
          <w:noProof/>
          <w:color w:val="000000" w:themeColor="text1"/>
          <w:sz w:val="20"/>
          <w:szCs w:val="20"/>
          <w:lang w:eastAsia="de-DE"/>
        </w:rPr>
        <w:t>DAS NEUE TOR ZU</w:t>
      </w:r>
      <w:r w:rsidR="00391F36">
        <w:rPr>
          <w:rFonts w:ascii="Arial" w:eastAsia="Calibri" w:hAnsi="Arial" w:cs="Arial"/>
          <w:b/>
          <w:noProof/>
          <w:color w:val="000000" w:themeColor="text1"/>
          <w:sz w:val="20"/>
          <w:szCs w:val="20"/>
          <w:lang w:eastAsia="de-DE"/>
        </w:rPr>
        <w:t>R</w:t>
      </w:r>
      <w:r w:rsidRPr="00324D62">
        <w:rPr>
          <w:rFonts w:ascii="Arial" w:eastAsia="Calibri" w:hAnsi="Arial" w:cs="Arial"/>
          <w:b/>
          <w:noProof/>
          <w:color w:val="000000" w:themeColor="text1"/>
          <w:sz w:val="20"/>
          <w:szCs w:val="20"/>
          <w:lang w:eastAsia="de-DE"/>
        </w:rPr>
        <w:t xml:space="preserve"> STADT</w:t>
      </w:r>
    </w:p>
    <w:p w:rsidR="00651129" w:rsidRPr="00324D62" w:rsidRDefault="00651129" w:rsidP="00651129">
      <w:pPr>
        <w:spacing w:line="480" w:lineRule="auto"/>
        <w:rPr>
          <w:rFonts w:ascii="Arial" w:eastAsia="Calibri" w:hAnsi="Arial" w:cs="Arial"/>
          <w:b/>
          <w:noProof/>
          <w:color w:val="000000" w:themeColor="text1"/>
          <w:sz w:val="20"/>
          <w:szCs w:val="20"/>
          <w:lang w:eastAsia="de-DE"/>
        </w:rPr>
      </w:pPr>
    </w:p>
    <w:p w:rsidR="00651129" w:rsidRPr="00324D62" w:rsidRDefault="00651129" w:rsidP="00651129">
      <w:pPr>
        <w:spacing w:line="480" w:lineRule="auto"/>
        <w:ind w:left="360"/>
        <w:rPr>
          <w:rFonts w:ascii="Arial" w:eastAsia="Calibri" w:hAnsi="Arial" w:cs="Arial"/>
          <w:b/>
          <w:noProof/>
          <w:color w:val="000000" w:themeColor="text1"/>
          <w:sz w:val="20"/>
          <w:szCs w:val="20"/>
          <w:lang w:eastAsia="de-DE"/>
        </w:rPr>
      </w:pPr>
      <w:r w:rsidRPr="00324D62">
        <w:rPr>
          <w:rFonts w:ascii="Arial" w:eastAsia="Calibri" w:hAnsi="Arial" w:cs="Arial"/>
          <w:b/>
          <w:noProof/>
          <w:color w:val="000000" w:themeColor="text1"/>
          <w:sz w:val="20"/>
          <w:szCs w:val="20"/>
          <w:lang w:eastAsia="de-DE"/>
        </w:rPr>
        <w:t>Auf dem Bahnhofsvorplatz der Hansestadt Bremen, Deutschland entsteht derzeit mit dem „City Gate Bremen“ ein Büro- und Geschäftshaus mit Hotel, Einzelhandels-, Büro- und Praxisflächen. Die Gesamtnutzfläche beläuft sich auf 40.000 qm. Für all diejenigen, die am Bahnhof ankommen ist das neue Gebäude tatsächlich das Tor zur Stadt, denn die Passage, die zwischen den beiden Gebäudeteilen durchführt, leitet den Ankommenden direkt in die Stadt.</w:t>
      </w:r>
    </w:p>
    <w:p w:rsidR="00651129" w:rsidRPr="00651129" w:rsidRDefault="00651129" w:rsidP="00651129">
      <w:pPr>
        <w:spacing w:line="480" w:lineRule="auto"/>
        <w:rPr>
          <w:rFonts w:ascii="Arial" w:eastAsia="Calibri" w:hAnsi="Arial" w:cs="Arial"/>
          <w:noProof/>
          <w:color w:val="000000" w:themeColor="text1"/>
          <w:sz w:val="20"/>
          <w:szCs w:val="20"/>
          <w:lang w:eastAsia="de-DE"/>
        </w:rPr>
      </w:pPr>
    </w:p>
    <w:p w:rsidR="005917A3" w:rsidRDefault="00210CB6" w:rsidP="00651129">
      <w:pPr>
        <w:spacing w:line="480" w:lineRule="auto"/>
        <w:ind w:left="360"/>
        <w:rPr>
          <w:rFonts w:ascii="Arial" w:eastAsia="Calibri" w:hAnsi="Arial" w:cs="Arial"/>
          <w:noProof/>
          <w:color w:val="000000" w:themeColor="text1"/>
          <w:sz w:val="20"/>
          <w:szCs w:val="20"/>
          <w:lang w:eastAsia="de-DE"/>
        </w:rPr>
      </w:pPr>
      <w:r w:rsidRPr="00210CB6">
        <w:rPr>
          <w:rFonts w:ascii="Arial" w:eastAsia="Calibri" w:hAnsi="Arial" w:cs="Arial"/>
          <w:noProof/>
          <w:color w:val="000000" w:themeColor="text1"/>
          <w:sz w:val="20"/>
          <w:szCs w:val="20"/>
          <w:lang w:eastAsia="de-DE"/>
        </w:rPr>
        <w:t>Entworfen vom preisgekrönten und renommierten Studio Max Dudler verbindet das City Gate Bremen moderne und zeitlose Architektur mit hanseatischer Bautradition.</w:t>
      </w:r>
      <w:r w:rsidR="00F90E24" w:rsidRPr="00F90E24">
        <w:rPr>
          <w:rFonts w:ascii="Arial" w:eastAsia="Calibri" w:hAnsi="Arial" w:cs="Arial"/>
          <w:noProof/>
          <w:color w:val="000000" w:themeColor="text1"/>
          <w:sz w:val="20"/>
          <w:szCs w:val="20"/>
          <w:lang w:eastAsia="de-DE"/>
        </w:rPr>
        <w:t xml:space="preserve"> </w:t>
      </w:r>
    </w:p>
    <w:p w:rsidR="005917A3" w:rsidRDefault="005917A3" w:rsidP="00651129">
      <w:pPr>
        <w:spacing w:line="480" w:lineRule="auto"/>
        <w:ind w:left="360"/>
        <w:rPr>
          <w:rFonts w:ascii="Arial" w:eastAsia="Calibri" w:hAnsi="Arial" w:cs="Arial"/>
          <w:noProof/>
          <w:color w:val="000000" w:themeColor="text1"/>
          <w:sz w:val="20"/>
          <w:szCs w:val="20"/>
          <w:lang w:eastAsia="de-DE"/>
        </w:rPr>
      </w:pPr>
    </w:p>
    <w:p w:rsidR="00F90E24" w:rsidRPr="005917A3" w:rsidRDefault="005917A3" w:rsidP="005917A3">
      <w:pPr>
        <w:spacing w:line="480" w:lineRule="auto"/>
        <w:ind w:left="360"/>
        <w:rPr>
          <w:rFonts w:ascii="Arial" w:eastAsia="Calibri" w:hAnsi="Arial" w:cs="Arial"/>
          <w:noProof/>
          <w:sz w:val="20"/>
          <w:szCs w:val="20"/>
          <w:lang w:eastAsia="de-DE"/>
        </w:rPr>
      </w:pPr>
      <w:r w:rsidRPr="005917A3">
        <w:rPr>
          <w:rFonts w:ascii="Arial" w:hAnsi="Arial" w:cs="Arial"/>
          <w:sz w:val="20"/>
          <w:szCs w:val="20"/>
        </w:rPr>
        <w:t xml:space="preserve">Bauherr / Auftraggeber ist die  Bahnhofsvorplatz Bremen GmbH vertreten durch die Achim Griese Treuhandgesellschaft, Hamburg.  Für die </w:t>
      </w:r>
      <w:r w:rsidR="00F90E24" w:rsidRPr="005917A3">
        <w:rPr>
          <w:rFonts w:ascii="Arial" w:eastAsia="Calibri" w:hAnsi="Arial" w:cs="Arial"/>
          <w:noProof/>
          <w:sz w:val="20"/>
          <w:szCs w:val="20"/>
          <w:lang w:eastAsia="de-DE"/>
        </w:rPr>
        <w:t>Ac</w:t>
      </w:r>
      <w:r w:rsidRPr="005917A3">
        <w:rPr>
          <w:rFonts w:ascii="Arial" w:eastAsia="Calibri" w:hAnsi="Arial" w:cs="Arial"/>
          <w:noProof/>
          <w:sz w:val="20"/>
          <w:szCs w:val="20"/>
          <w:lang w:eastAsia="de-DE"/>
        </w:rPr>
        <w:t xml:space="preserve">him Griese Treuhandgesellschaft, die </w:t>
      </w:r>
      <w:r w:rsidR="00F90E24" w:rsidRPr="005917A3">
        <w:rPr>
          <w:rFonts w:ascii="Arial" w:eastAsia="Calibri" w:hAnsi="Arial" w:cs="Arial"/>
          <w:noProof/>
          <w:sz w:val="20"/>
          <w:szCs w:val="20"/>
          <w:lang w:eastAsia="de-DE"/>
        </w:rPr>
        <w:t xml:space="preserve">bei Ihren Projekten besonderen Augenmerk auf nachhaltige Investitionen legt, </w:t>
      </w:r>
      <w:r w:rsidRPr="005917A3">
        <w:rPr>
          <w:rFonts w:ascii="Arial" w:eastAsia="Calibri" w:hAnsi="Arial" w:cs="Arial"/>
          <w:noProof/>
          <w:sz w:val="20"/>
          <w:szCs w:val="20"/>
          <w:lang w:eastAsia="de-DE"/>
        </w:rPr>
        <w:t xml:space="preserve">ist mit dem Bauvorhaben City Gate vor allem für die </w:t>
      </w:r>
      <w:r w:rsidR="00F90E24" w:rsidRPr="005917A3">
        <w:rPr>
          <w:rFonts w:ascii="Arial" w:eastAsia="Calibri" w:hAnsi="Arial" w:cs="Arial"/>
          <w:noProof/>
          <w:sz w:val="20"/>
          <w:szCs w:val="20"/>
          <w:lang w:eastAsia="de-DE"/>
        </w:rPr>
        <w:t xml:space="preserve">Themenbereiche Technik und Wirtschaftlichkeit </w:t>
      </w:r>
      <w:r w:rsidRPr="005917A3">
        <w:rPr>
          <w:rFonts w:ascii="Arial" w:eastAsia="Calibri" w:hAnsi="Arial" w:cs="Arial"/>
          <w:noProof/>
          <w:sz w:val="20"/>
          <w:szCs w:val="20"/>
          <w:lang w:eastAsia="de-DE"/>
        </w:rPr>
        <w:t>ein hoher Stellenwert eingeräumt worden.</w:t>
      </w:r>
    </w:p>
    <w:p w:rsidR="00F90E24" w:rsidRDefault="00F90E24" w:rsidP="00651129">
      <w:pPr>
        <w:spacing w:line="480" w:lineRule="auto"/>
        <w:ind w:left="360"/>
        <w:rPr>
          <w:rFonts w:ascii="Arial" w:eastAsia="Calibri" w:hAnsi="Arial" w:cs="Arial"/>
          <w:noProof/>
          <w:color w:val="000000" w:themeColor="text1"/>
          <w:sz w:val="20"/>
          <w:szCs w:val="20"/>
          <w:lang w:eastAsia="de-DE"/>
        </w:rPr>
      </w:pPr>
    </w:p>
    <w:p w:rsidR="00651129" w:rsidRPr="00651129" w:rsidRDefault="000E4AB2" w:rsidP="00651129">
      <w:pPr>
        <w:spacing w:line="480" w:lineRule="auto"/>
        <w:ind w:left="360"/>
        <w:rPr>
          <w:rFonts w:ascii="Arial" w:eastAsia="Calibri" w:hAnsi="Arial" w:cs="Arial"/>
          <w:noProof/>
          <w:color w:val="000000" w:themeColor="text1"/>
          <w:sz w:val="20"/>
          <w:szCs w:val="20"/>
          <w:lang w:eastAsia="de-DE"/>
        </w:rPr>
      </w:pPr>
      <w:r w:rsidRPr="000E4AB2">
        <w:rPr>
          <w:rFonts w:ascii="Arial" w:eastAsia="Calibri" w:hAnsi="Arial" w:cs="Arial"/>
          <w:noProof/>
          <w:color w:val="000000" w:themeColor="text1"/>
          <w:sz w:val="20"/>
          <w:szCs w:val="20"/>
          <w:lang w:eastAsia="de-DE"/>
        </w:rPr>
        <w:t>Das Grundstück liegt im Zentrum der Stadt Bremen zwischen der Altstadt und den Wallanlagen im Süden und dem Messe- und Veranstaltungszentrum im Norden. Es bildet einen Teil der innerstädtischen Entwicklungsachse für Einzelhandel, Tourismus und Dienstleistungsbereich und wird durch die hervorragende Erschließung über sämtliche ÖPNV-, Nah-, Regional- und Fernverbindungen sowie Straßenverkehrsachsen von mehr als 100.000 Passanten auf dem Weg zwischen Bahnhof und Innenstadt täglich frequentiert. So kommt seiner Bebauung als Visitenkart</w:t>
      </w:r>
      <w:r>
        <w:rPr>
          <w:rFonts w:ascii="Arial" w:eastAsia="Calibri" w:hAnsi="Arial" w:cs="Arial"/>
          <w:noProof/>
          <w:color w:val="000000" w:themeColor="text1"/>
          <w:sz w:val="20"/>
          <w:szCs w:val="20"/>
          <w:lang w:eastAsia="de-DE"/>
        </w:rPr>
        <w:t xml:space="preserve">e Bremens immense Bedeutung zu. </w:t>
      </w:r>
      <w:r w:rsidR="00651129" w:rsidRPr="00651129">
        <w:rPr>
          <w:rFonts w:ascii="Arial" w:eastAsia="Calibri" w:hAnsi="Arial" w:cs="Arial"/>
          <w:noProof/>
          <w:color w:val="000000" w:themeColor="text1"/>
          <w:sz w:val="20"/>
          <w:szCs w:val="20"/>
          <w:lang w:eastAsia="de-DE"/>
        </w:rPr>
        <w:t xml:space="preserve">Durch ihre gestalterischen Verfeinerung erfahren die beiden Bauteile eine Differenzierung, aus der sich die unterschiedlichen Funktionen ablesen lassen. Hotel und Bürohaus unterscheiden sich subtil in den variierenden Fassaden. </w:t>
      </w:r>
      <w:r w:rsidRPr="000E4AB2">
        <w:rPr>
          <w:rFonts w:ascii="Arial" w:eastAsia="Calibri" w:hAnsi="Arial" w:cs="Arial"/>
          <w:noProof/>
          <w:color w:val="000000" w:themeColor="text1"/>
          <w:sz w:val="20"/>
          <w:szCs w:val="20"/>
          <w:lang w:eastAsia="de-DE"/>
        </w:rPr>
        <w:t xml:space="preserve">Die in beiden Fällen zahlreichen Rücksprünge erhöhen den dynamischen Ausdruck und geben dem Baukörper zusätzlich seine identitätsstiftende figürliche Qualität. Für die Ausführung der Elemente wurde sich bewußt für den Werkstoff Aluminium entschieden. „Aluminiumkonstruktionen eröffnen </w:t>
      </w:r>
      <w:r w:rsidRPr="000E4AB2">
        <w:rPr>
          <w:rFonts w:ascii="Arial" w:eastAsia="Calibri" w:hAnsi="Arial" w:cs="Arial"/>
          <w:noProof/>
          <w:color w:val="000000" w:themeColor="text1"/>
          <w:sz w:val="20"/>
          <w:szCs w:val="20"/>
          <w:lang w:eastAsia="de-DE"/>
        </w:rPr>
        <w:lastRenderedPageBreak/>
        <w:t>umfangreiche Gestaltungsmöglichkeiten. So können die Oberflächen in den verschiedensten Farbtönen pulverbeschichtet oder auch eloxiert werden. Profilgeometrien können als objektbezogene Sonderpressung der gestalterischen Vorgabe angepasst werden. Die Materialcharakteristik des Aluminium und die Einsatzmöglichkeit zuverlässiger Beschlagssysteme ergeben eine sehr lange Lebensdauer der Konstruktion und</w:t>
      </w:r>
      <w:r>
        <w:rPr>
          <w:rFonts w:ascii="Arial" w:eastAsia="Calibri" w:hAnsi="Arial" w:cs="Arial"/>
          <w:noProof/>
          <w:color w:val="000000" w:themeColor="text1"/>
          <w:sz w:val="20"/>
          <w:szCs w:val="20"/>
          <w:lang w:eastAsia="de-DE"/>
        </w:rPr>
        <w:t xml:space="preserve"> eine dauerhafte Funktionalität‘, </w:t>
      </w:r>
      <w:r w:rsidR="00651129" w:rsidRPr="00651129">
        <w:rPr>
          <w:rFonts w:ascii="Arial" w:eastAsia="Calibri" w:hAnsi="Arial" w:cs="Arial"/>
          <w:noProof/>
          <w:color w:val="000000" w:themeColor="text1"/>
          <w:sz w:val="20"/>
          <w:szCs w:val="20"/>
          <w:lang w:eastAsia="de-DE"/>
        </w:rPr>
        <w:t xml:space="preserve"> erläutert Christian Thomas, Mitarbeiter beim ausführenden Metallbau-Unternehmen Haskamp. </w:t>
      </w:r>
      <w:r w:rsidRPr="000E4AB2">
        <w:rPr>
          <w:rFonts w:ascii="Arial" w:eastAsia="Calibri" w:hAnsi="Arial" w:cs="Arial"/>
          <w:noProof/>
          <w:color w:val="000000" w:themeColor="text1"/>
          <w:sz w:val="20"/>
          <w:szCs w:val="20"/>
          <w:lang w:eastAsia="de-DE"/>
        </w:rPr>
        <w:t>„Bei der Wahl des Systemgebers haben wir mit Fa. GUTMANN sowohl einen zuverlässigen als auch flexiblen Partner an unserer Seite. Hier zählt vor allem das technische Know-How und die Leistungsfähigkeit.“</w:t>
      </w:r>
    </w:p>
    <w:p w:rsidR="00651129" w:rsidRPr="00651129" w:rsidRDefault="00651129" w:rsidP="00651129">
      <w:pPr>
        <w:spacing w:line="480" w:lineRule="auto"/>
        <w:rPr>
          <w:rFonts w:ascii="Arial" w:eastAsia="Calibri" w:hAnsi="Arial" w:cs="Arial"/>
          <w:noProof/>
          <w:color w:val="000000" w:themeColor="text1"/>
          <w:sz w:val="20"/>
          <w:szCs w:val="20"/>
          <w:lang w:eastAsia="de-DE"/>
        </w:rPr>
      </w:pPr>
    </w:p>
    <w:p w:rsidR="00A14AF7" w:rsidRDefault="00651129" w:rsidP="00651129">
      <w:pPr>
        <w:spacing w:line="480" w:lineRule="auto"/>
        <w:ind w:left="360"/>
        <w:rPr>
          <w:rFonts w:ascii="Arial" w:eastAsia="Calibri" w:hAnsi="Arial" w:cs="Arial"/>
          <w:noProof/>
          <w:color w:val="000000" w:themeColor="text1"/>
          <w:sz w:val="20"/>
          <w:szCs w:val="20"/>
          <w:lang w:eastAsia="de-DE"/>
        </w:rPr>
      </w:pPr>
      <w:r w:rsidRPr="00651129">
        <w:rPr>
          <w:rFonts w:ascii="Arial" w:eastAsia="Calibri" w:hAnsi="Arial" w:cs="Arial"/>
          <w:noProof/>
          <w:color w:val="000000" w:themeColor="text1"/>
          <w:sz w:val="20"/>
          <w:szCs w:val="20"/>
          <w:lang w:eastAsia="de-DE"/>
        </w:rPr>
        <w:t xml:space="preserve">Insgesamt werden ca. 1500 Einzelfenster mit einer Fläche von 4100m² und Pfosten-Riegel-Fassaden mit einer Fläche von 1800 m² ausgeführt. Die Bauherren stellten auf Grund der verkehrsreichen Lage hohe Anforderungen an den Schallschutz. Die Mehrheit der Fassadenelemente sind bodengebunden und werden deshalb absturzsichernd ausgeführt. Entsprechend der baulichen Vorschriften werden verschiedene Bereiche als Brandschutzverglasungen F30 und F90 ausgeführt. </w:t>
      </w:r>
    </w:p>
    <w:p w:rsidR="00210CB6" w:rsidRDefault="00210CB6" w:rsidP="00651129">
      <w:pPr>
        <w:spacing w:line="480" w:lineRule="auto"/>
        <w:ind w:left="360"/>
        <w:rPr>
          <w:rFonts w:ascii="Arial" w:eastAsia="Calibri" w:hAnsi="Arial" w:cs="Arial"/>
          <w:noProof/>
          <w:color w:val="000000" w:themeColor="text1"/>
          <w:sz w:val="20"/>
          <w:szCs w:val="20"/>
          <w:lang w:eastAsia="de-DE"/>
        </w:rPr>
      </w:pPr>
    </w:p>
    <w:p w:rsidR="00210CB6" w:rsidRPr="005917A3" w:rsidRDefault="00210CB6" w:rsidP="00DA7E65">
      <w:pPr>
        <w:spacing w:line="480" w:lineRule="auto"/>
        <w:ind w:left="360"/>
        <w:rPr>
          <w:rFonts w:ascii="Arial" w:eastAsia="Calibri" w:hAnsi="Arial" w:cs="Arial"/>
          <w:noProof/>
          <w:sz w:val="20"/>
          <w:szCs w:val="20"/>
          <w:lang w:eastAsia="de-DE"/>
        </w:rPr>
      </w:pPr>
      <w:r w:rsidRPr="005917A3">
        <w:rPr>
          <w:rFonts w:ascii="Arial" w:eastAsia="Calibri" w:hAnsi="Arial" w:cs="Arial"/>
          <w:noProof/>
          <w:sz w:val="20"/>
          <w:szCs w:val="20"/>
          <w:lang w:eastAsia="de-DE"/>
        </w:rPr>
        <w:t>Bauliche Besonderheiten</w:t>
      </w:r>
    </w:p>
    <w:p w:rsidR="00210CB6" w:rsidRPr="005917A3" w:rsidRDefault="00210CB6" w:rsidP="00DA7E65">
      <w:pPr>
        <w:pStyle w:val="Listenabsatz"/>
        <w:numPr>
          <w:ilvl w:val="0"/>
          <w:numId w:val="1"/>
        </w:numPr>
        <w:spacing w:after="0" w:line="480" w:lineRule="auto"/>
        <w:ind w:hanging="357"/>
        <w:rPr>
          <w:rFonts w:ascii="Arial" w:hAnsi="Arial" w:cs="Arial"/>
          <w:sz w:val="20"/>
          <w:szCs w:val="20"/>
        </w:rPr>
      </w:pPr>
      <w:r w:rsidRPr="005917A3">
        <w:rPr>
          <w:rFonts w:ascii="Arial" w:hAnsi="Arial" w:cs="Arial"/>
          <w:sz w:val="20"/>
          <w:szCs w:val="20"/>
        </w:rPr>
        <w:t>Die Etagen der Gebäudetreppen nach oben hin jeweils nach innen versetzt ab. Die Gebäudehülle besteht aus Natursteinplatten und Aluminiumelementen als Lochfenster - teilweise in der Leibung zurück versetzt und teilweise außen bündig mit der Natursteinebene.</w:t>
      </w:r>
    </w:p>
    <w:p w:rsidR="00210CB6" w:rsidRPr="005917A3" w:rsidRDefault="00210CB6" w:rsidP="00DA7E65">
      <w:pPr>
        <w:pStyle w:val="Listenabsatz"/>
        <w:numPr>
          <w:ilvl w:val="0"/>
          <w:numId w:val="1"/>
        </w:numPr>
        <w:spacing w:after="0" w:line="480" w:lineRule="auto"/>
        <w:ind w:hanging="357"/>
        <w:rPr>
          <w:rFonts w:ascii="Arial" w:hAnsi="Arial" w:cs="Arial"/>
          <w:sz w:val="20"/>
          <w:szCs w:val="20"/>
        </w:rPr>
      </w:pPr>
      <w:r w:rsidRPr="005917A3">
        <w:rPr>
          <w:rFonts w:ascii="Arial" w:hAnsi="Arial" w:cs="Arial"/>
          <w:sz w:val="20"/>
          <w:szCs w:val="20"/>
        </w:rPr>
        <w:t xml:space="preserve">Für die Führung der Sonnenschutzbehänge wurde eine spezielle Geometrie in die Profile </w:t>
      </w:r>
      <w:bookmarkStart w:id="0" w:name="_GoBack"/>
      <w:bookmarkEnd w:id="0"/>
      <w:r w:rsidRPr="005917A3">
        <w:rPr>
          <w:rFonts w:ascii="Arial" w:hAnsi="Arial" w:cs="Arial"/>
          <w:sz w:val="20"/>
          <w:szCs w:val="20"/>
        </w:rPr>
        <w:br/>
        <w:t>integriert. Ein Teil der zu öffnenden Elemente werden mit speziellen Öffnungsbegrenzern ausgeführt, die ein hohes Maß an Sicherheit und Komfort bieten. Außerdem wurde die absturzsichernde Brüstungsverglasung von Gutmann in die Profile integriert.</w:t>
      </w:r>
    </w:p>
    <w:p w:rsidR="000E4AB2" w:rsidRDefault="000E4AB2" w:rsidP="00DA7E65">
      <w:pPr>
        <w:spacing w:line="480" w:lineRule="auto"/>
        <w:ind w:firstLine="360"/>
        <w:rPr>
          <w:rFonts w:ascii="Arial" w:hAnsi="Arial" w:cs="Arial"/>
          <w:color w:val="000000" w:themeColor="text1"/>
          <w:sz w:val="20"/>
          <w:szCs w:val="20"/>
        </w:rPr>
      </w:pPr>
    </w:p>
    <w:p w:rsidR="007F3FF8" w:rsidRPr="00324D62" w:rsidRDefault="00324D62" w:rsidP="000E4AB2">
      <w:pPr>
        <w:spacing w:after="200" w:line="276" w:lineRule="auto"/>
        <w:ind w:firstLine="360"/>
        <w:rPr>
          <w:rFonts w:ascii="Arial" w:hAnsi="Arial" w:cs="Arial"/>
          <w:b/>
          <w:sz w:val="20"/>
          <w:szCs w:val="20"/>
        </w:rPr>
      </w:pPr>
      <w:r w:rsidRPr="00324D62">
        <w:rPr>
          <w:rFonts w:ascii="Arial" w:hAnsi="Arial" w:cs="Arial"/>
          <w:b/>
          <w:sz w:val="20"/>
          <w:szCs w:val="20"/>
        </w:rPr>
        <w:t xml:space="preserve">Über GUTMANN </w:t>
      </w:r>
    </w:p>
    <w:p w:rsidR="00324D62" w:rsidRPr="00324D62" w:rsidRDefault="00324D62" w:rsidP="00A14AF7">
      <w:pPr>
        <w:spacing w:line="480" w:lineRule="auto"/>
        <w:ind w:left="426"/>
        <w:rPr>
          <w:rFonts w:ascii="Arial" w:hAnsi="Arial" w:cs="Arial"/>
          <w:sz w:val="20"/>
          <w:szCs w:val="20"/>
        </w:rPr>
      </w:pPr>
    </w:p>
    <w:p w:rsidR="00324D62" w:rsidRPr="00324D62" w:rsidRDefault="00324D62" w:rsidP="00A14AF7">
      <w:pPr>
        <w:spacing w:line="480" w:lineRule="auto"/>
        <w:ind w:left="426"/>
        <w:rPr>
          <w:rFonts w:ascii="Arial" w:hAnsi="Arial" w:cs="Arial"/>
          <w:sz w:val="20"/>
          <w:szCs w:val="20"/>
        </w:rPr>
      </w:pPr>
      <w:r w:rsidRPr="00324D62">
        <w:rPr>
          <w:rFonts w:ascii="Arial" w:hAnsi="Arial" w:cs="Arial"/>
          <w:sz w:val="20"/>
          <w:szCs w:val="20"/>
        </w:rPr>
        <w:t xml:space="preserve">Die Produkte der GUTMANN Bausysteme GmbH überwinden Grenzen, technisch und architektonisch. Sie schaffen Freiräume für Lösungen, die es Verarbeitern und Architekten erlauben, neue Ideen einzugehen und neue Maßstäbe zu setzen. </w:t>
      </w:r>
    </w:p>
    <w:p w:rsidR="00324D62" w:rsidRPr="00324D62" w:rsidRDefault="00324D62" w:rsidP="00A14AF7">
      <w:pPr>
        <w:spacing w:line="480" w:lineRule="auto"/>
        <w:ind w:left="426"/>
        <w:rPr>
          <w:rFonts w:ascii="Arial" w:hAnsi="Arial" w:cs="Arial"/>
          <w:sz w:val="20"/>
          <w:szCs w:val="20"/>
        </w:rPr>
      </w:pPr>
    </w:p>
    <w:p w:rsidR="00324D62" w:rsidRDefault="00324D62" w:rsidP="00A14AF7">
      <w:pPr>
        <w:spacing w:line="480" w:lineRule="auto"/>
        <w:ind w:left="426"/>
        <w:rPr>
          <w:rFonts w:ascii="Arial" w:hAnsi="Arial" w:cs="Arial"/>
          <w:sz w:val="20"/>
          <w:szCs w:val="20"/>
        </w:rPr>
      </w:pPr>
      <w:r w:rsidRPr="00324D62">
        <w:rPr>
          <w:rFonts w:ascii="Arial" w:hAnsi="Arial" w:cs="Arial"/>
          <w:sz w:val="20"/>
          <w:szCs w:val="20"/>
        </w:rPr>
        <w:t>Mit der Marke GUTMANN, einem der führenden Anbieter im Bereich Bausysteme, profitieren Sie von 80 Jahren Erfahrung im Bereich Fenster, Türen und Fassaden. Garantiert sind Präzision, intelligente technische Details sowie ein hoher Designanspruch mit Funktionalität und Qualität. Selbstverständlich stehen auch Sicherheitsaspekte stark im Fokus – von der Planung bis hin zur Montage, dank geprüfter und zertifizierter Systeme.</w:t>
      </w:r>
    </w:p>
    <w:p w:rsidR="00210CB6" w:rsidRDefault="00210CB6" w:rsidP="00A14AF7">
      <w:pPr>
        <w:spacing w:line="480" w:lineRule="auto"/>
        <w:ind w:left="426"/>
        <w:rPr>
          <w:rFonts w:ascii="Arial" w:hAnsi="Arial" w:cs="Arial"/>
          <w:sz w:val="20"/>
          <w:szCs w:val="20"/>
        </w:rPr>
      </w:pPr>
    </w:p>
    <w:p w:rsidR="00210CB6" w:rsidRDefault="00210CB6" w:rsidP="00A14AF7">
      <w:pPr>
        <w:spacing w:line="480" w:lineRule="auto"/>
        <w:ind w:left="426"/>
        <w:rPr>
          <w:rFonts w:ascii="Arial" w:hAnsi="Arial" w:cs="Arial"/>
          <w:sz w:val="20"/>
          <w:szCs w:val="20"/>
        </w:rPr>
      </w:pPr>
      <w:r>
        <w:rPr>
          <w:noProof/>
          <w:lang w:eastAsia="de-DE"/>
        </w:rPr>
        <w:drawing>
          <wp:inline distT="0" distB="0" distL="0" distR="0" wp14:anchorId="50950619" wp14:editId="359A9E39">
            <wp:extent cx="5760720" cy="3210471"/>
            <wp:effectExtent l="0" t="0" r="0" b="952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5760720" cy="3210471"/>
                    </a:xfrm>
                    <a:prstGeom prst="rect">
                      <a:avLst/>
                    </a:prstGeom>
                  </pic:spPr>
                </pic:pic>
              </a:graphicData>
            </a:graphic>
          </wp:inline>
        </w:drawing>
      </w:r>
    </w:p>
    <w:p w:rsidR="00210CB6" w:rsidRDefault="00210CB6" w:rsidP="00A14AF7">
      <w:pPr>
        <w:spacing w:line="480" w:lineRule="auto"/>
        <w:ind w:left="426"/>
        <w:rPr>
          <w:rFonts w:ascii="Arial" w:hAnsi="Arial" w:cs="Arial"/>
          <w:sz w:val="20"/>
          <w:szCs w:val="20"/>
        </w:rPr>
      </w:pPr>
      <w:r>
        <w:rPr>
          <w:rFonts w:ascii="Arial" w:hAnsi="Arial" w:cs="Arial"/>
          <w:sz w:val="20"/>
          <w:szCs w:val="20"/>
        </w:rPr>
        <w:t>Blick aus Ost</w:t>
      </w:r>
    </w:p>
    <w:p w:rsidR="00210CB6" w:rsidRDefault="00210CB6" w:rsidP="00A14AF7">
      <w:pPr>
        <w:spacing w:line="480" w:lineRule="auto"/>
        <w:ind w:left="426"/>
        <w:rPr>
          <w:rFonts w:ascii="Arial" w:hAnsi="Arial" w:cs="Arial"/>
          <w:sz w:val="20"/>
          <w:szCs w:val="20"/>
        </w:rPr>
      </w:pPr>
    </w:p>
    <w:p w:rsidR="00210CB6" w:rsidRPr="00324D62" w:rsidRDefault="00210CB6" w:rsidP="00A14AF7">
      <w:pPr>
        <w:spacing w:line="480" w:lineRule="auto"/>
        <w:ind w:left="426"/>
        <w:rPr>
          <w:rFonts w:ascii="Arial" w:hAnsi="Arial" w:cs="Arial"/>
          <w:sz w:val="20"/>
          <w:szCs w:val="20"/>
        </w:rPr>
      </w:pPr>
      <w:r>
        <w:rPr>
          <w:noProof/>
          <w:lang w:eastAsia="de-DE"/>
        </w:rPr>
        <w:lastRenderedPageBreak/>
        <w:drawing>
          <wp:inline distT="0" distB="0" distL="0" distR="0" wp14:anchorId="3105F740" wp14:editId="6FF1615E">
            <wp:extent cx="5760720" cy="3246606"/>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760720" cy="3246606"/>
                    </a:xfrm>
                    <a:prstGeom prst="rect">
                      <a:avLst/>
                    </a:prstGeom>
                  </pic:spPr>
                </pic:pic>
              </a:graphicData>
            </a:graphic>
          </wp:inline>
        </w:drawing>
      </w:r>
    </w:p>
    <w:p w:rsidR="00324D62" w:rsidRDefault="00210CB6" w:rsidP="00A14AF7">
      <w:pPr>
        <w:spacing w:line="480" w:lineRule="auto"/>
        <w:ind w:left="426"/>
        <w:rPr>
          <w:rFonts w:ascii="Arial" w:hAnsi="Arial" w:cs="Arial"/>
          <w:sz w:val="20"/>
          <w:szCs w:val="20"/>
        </w:rPr>
      </w:pPr>
      <w:r>
        <w:rPr>
          <w:rFonts w:ascii="Arial" w:hAnsi="Arial" w:cs="Arial"/>
          <w:sz w:val="20"/>
          <w:szCs w:val="20"/>
        </w:rPr>
        <w:t>Blick vom Bahnhofsvorplatz</w:t>
      </w:r>
    </w:p>
    <w:p w:rsidR="00210CB6" w:rsidRPr="00324D62" w:rsidRDefault="00210CB6" w:rsidP="00A14AF7">
      <w:pPr>
        <w:spacing w:line="480" w:lineRule="auto"/>
        <w:ind w:left="426"/>
        <w:rPr>
          <w:rFonts w:ascii="Arial" w:hAnsi="Arial" w:cs="Arial"/>
          <w:sz w:val="20"/>
          <w:szCs w:val="20"/>
        </w:rPr>
      </w:pPr>
      <w:r>
        <w:rPr>
          <w:noProof/>
          <w:lang w:eastAsia="de-DE"/>
        </w:rPr>
        <w:drawing>
          <wp:inline distT="0" distB="0" distL="0" distR="0" wp14:anchorId="596D32A3" wp14:editId="34AA3019">
            <wp:extent cx="5760720" cy="3300502"/>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760720" cy="3300502"/>
                    </a:xfrm>
                    <a:prstGeom prst="rect">
                      <a:avLst/>
                    </a:prstGeom>
                  </pic:spPr>
                </pic:pic>
              </a:graphicData>
            </a:graphic>
          </wp:inline>
        </w:drawing>
      </w:r>
    </w:p>
    <w:p w:rsidR="00324D62" w:rsidRDefault="00210CB6" w:rsidP="00A14AF7">
      <w:pPr>
        <w:spacing w:line="480" w:lineRule="auto"/>
        <w:ind w:left="426"/>
        <w:rPr>
          <w:rFonts w:ascii="Arial" w:hAnsi="Arial" w:cs="Arial"/>
          <w:sz w:val="20"/>
          <w:szCs w:val="20"/>
        </w:rPr>
      </w:pPr>
      <w:r>
        <w:rPr>
          <w:rFonts w:ascii="Arial" w:hAnsi="Arial" w:cs="Arial"/>
          <w:sz w:val="20"/>
          <w:szCs w:val="20"/>
        </w:rPr>
        <w:t>Blick vom Tower</w:t>
      </w:r>
    </w:p>
    <w:sectPr w:rsidR="00324D62">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4F348C1"/>
    <w:multiLevelType w:val="hybridMultilevel"/>
    <w:tmpl w:val="D10C56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nsid w:val="640B4C3E"/>
    <w:multiLevelType w:val="hybridMultilevel"/>
    <w:tmpl w:val="3C6C705C"/>
    <w:lvl w:ilvl="0" w:tplc="DC727A7E">
      <w:start w:val="1"/>
      <w:numFmt w:val="decimal"/>
      <w:lvlText w:val="%1."/>
      <w:lvlJc w:val="left"/>
      <w:pPr>
        <w:ind w:left="720" w:hanging="360"/>
      </w:pPr>
      <w:rPr>
        <w:rFonts w:ascii="Arial" w:eastAsiaTheme="minorHAnsi" w:hAnsi="Arial" w:cs="Arial"/>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6B492400"/>
    <w:multiLevelType w:val="hybridMultilevel"/>
    <w:tmpl w:val="971EF940"/>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87"/>
  <w:doNotDisplayPageBoundaries/>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129"/>
    <w:rsid w:val="000E4AB2"/>
    <w:rsid w:val="00210CB6"/>
    <w:rsid w:val="00324D62"/>
    <w:rsid w:val="00391F36"/>
    <w:rsid w:val="005917A3"/>
    <w:rsid w:val="006136F6"/>
    <w:rsid w:val="00651129"/>
    <w:rsid w:val="007F3FF8"/>
    <w:rsid w:val="00A14AF7"/>
    <w:rsid w:val="00DA7E65"/>
    <w:rsid w:val="00E82883"/>
    <w:rsid w:val="00F90E2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651129"/>
    <w:pPr>
      <w:spacing w:after="0" w:line="240" w:lineRule="auto"/>
    </w:pPr>
    <w:rPr>
      <w:rFonts w:ascii="Calibri" w:hAnsi="Calibri" w:cs="Times New Roman"/>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651129"/>
    <w:pPr>
      <w:spacing w:after="200" w:line="276" w:lineRule="auto"/>
      <w:ind w:left="720"/>
      <w:contextualSpacing/>
    </w:pPr>
    <w:rPr>
      <w:rFonts w:asciiTheme="minorHAnsi" w:hAnsiTheme="minorHAnsi" w:cstheme="minorBidi"/>
    </w:rPr>
  </w:style>
  <w:style w:type="paragraph" w:styleId="Sprechblasentext">
    <w:name w:val="Balloon Text"/>
    <w:basedOn w:val="Standard"/>
    <w:link w:val="SprechblasentextZchn"/>
    <w:uiPriority w:val="99"/>
    <w:semiHidden/>
    <w:unhideWhenUsed/>
    <w:rsid w:val="00210CB6"/>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210CB6"/>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651129"/>
    <w:pPr>
      <w:spacing w:after="0" w:line="240" w:lineRule="auto"/>
    </w:pPr>
    <w:rPr>
      <w:rFonts w:ascii="Calibri" w:hAnsi="Calibri" w:cs="Times New Roman"/>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651129"/>
    <w:pPr>
      <w:spacing w:after="200" w:line="276" w:lineRule="auto"/>
      <w:ind w:left="720"/>
      <w:contextualSpacing/>
    </w:pPr>
    <w:rPr>
      <w:rFonts w:asciiTheme="minorHAnsi" w:hAnsiTheme="minorHAnsi" w:cstheme="minorBidi"/>
    </w:rPr>
  </w:style>
  <w:style w:type="paragraph" w:styleId="Sprechblasentext">
    <w:name w:val="Balloon Text"/>
    <w:basedOn w:val="Standard"/>
    <w:link w:val="SprechblasentextZchn"/>
    <w:uiPriority w:val="99"/>
    <w:semiHidden/>
    <w:unhideWhenUsed/>
    <w:rsid w:val="00210CB6"/>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210CB6"/>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03457124">
      <w:bodyDiv w:val="1"/>
      <w:marLeft w:val="0"/>
      <w:marRight w:val="0"/>
      <w:marTop w:val="0"/>
      <w:marBottom w:val="0"/>
      <w:divBdr>
        <w:top w:val="none" w:sz="0" w:space="0" w:color="auto"/>
        <w:left w:val="none" w:sz="0" w:space="0" w:color="auto"/>
        <w:bottom w:val="none" w:sz="0" w:space="0" w:color="auto"/>
        <w:right w:val="none" w:sz="0" w:space="0" w:color="auto"/>
      </w:divBdr>
    </w:div>
    <w:div w:id="1099640452">
      <w:bodyDiv w:val="1"/>
      <w:marLeft w:val="0"/>
      <w:marRight w:val="0"/>
      <w:marTop w:val="0"/>
      <w:marBottom w:val="0"/>
      <w:divBdr>
        <w:top w:val="none" w:sz="0" w:space="0" w:color="auto"/>
        <w:left w:val="none" w:sz="0" w:space="0" w:color="auto"/>
        <w:bottom w:val="none" w:sz="0" w:space="0" w:color="auto"/>
        <w:right w:val="none" w:sz="0" w:space="0" w:color="auto"/>
      </w:divBdr>
      <w:divsChild>
        <w:div w:id="485708230">
          <w:marLeft w:val="0"/>
          <w:marRight w:val="0"/>
          <w:marTop w:val="0"/>
          <w:marBottom w:val="0"/>
          <w:divBdr>
            <w:top w:val="none" w:sz="0" w:space="0" w:color="auto"/>
            <w:left w:val="none" w:sz="0" w:space="0" w:color="auto"/>
            <w:bottom w:val="none" w:sz="0" w:space="0" w:color="auto"/>
            <w:right w:val="none" w:sz="0" w:space="0" w:color="auto"/>
          </w:divBdr>
        </w:div>
      </w:divsChild>
    </w:div>
    <w:div w:id="1982923854">
      <w:bodyDiv w:val="1"/>
      <w:marLeft w:val="0"/>
      <w:marRight w:val="0"/>
      <w:marTop w:val="0"/>
      <w:marBottom w:val="0"/>
      <w:divBdr>
        <w:top w:val="none" w:sz="0" w:space="0" w:color="auto"/>
        <w:left w:val="none" w:sz="0" w:space="0" w:color="auto"/>
        <w:bottom w:val="none" w:sz="0" w:space="0" w:color="auto"/>
        <w:right w:val="none" w:sz="0" w:space="0" w:color="auto"/>
      </w:divBdr>
      <w:divsChild>
        <w:div w:id="59475156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microsoft.com/office/2007/relationships/stylesWithEffects" Target="stylesWithEffects.xml"/><Relationship Id="rId7" Type="http://schemas.openxmlformats.org/officeDocument/2006/relationships/image" Target="media/image2.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89</TotalTime>
  <Pages>1</Pages>
  <Words>635</Words>
  <Characters>4003</Characters>
  <Application>Microsoft Office Word</Application>
  <DocSecurity>0</DocSecurity>
  <Lines>33</Lines>
  <Paragraphs>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4629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Benesch, Katja</dc:creator>
  <cp:lastModifiedBy>Benesch, Katja</cp:lastModifiedBy>
  <cp:revision>11</cp:revision>
  <dcterms:created xsi:type="dcterms:W3CDTF">2018-03-13T15:04:00Z</dcterms:created>
  <dcterms:modified xsi:type="dcterms:W3CDTF">2018-03-26T12:06:00Z</dcterms:modified>
</cp:coreProperties>
</file>